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5F" w:rsidRDefault="007C665F" w:rsidP="00390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71E4F" w:rsidRPr="00E00DA0" w:rsidRDefault="00160B4B" w:rsidP="00390AA1">
      <w:pPr>
        <w:spacing w:after="0"/>
        <w:jc w:val="center"/>
        <w:rPr>
          <w:b/>
          <w:sz w:val="28"/>
          <w:szCs w:val="28"/>
        </w:rPr>
      </w:pPr>
      <w:r w:rsidRPr="00E00DA0">
        <w:rPr>
          <w:b/>
          <w:sz w:val="28"/>
          <w:szCs w:val="28"/>
        </w:rPr>
        <w:t>KREIPIMOSI SOCIALINĖMS IŠMOKOMS GAUTI VILNIAUS MIESTE TVARKA</w:t>
      </w:r>
    </w:p>
    <w:p w:rsidR="00E16521" w:rsidRPr="00E00DA0" w:rsidRDefault="00E16521" w:rsidP="0042184A">
      <w:pPr>
        <w:spacing w:after="0" w:line="240" w:lineRule="auto"/>
        <w:ind w:firstLine="1296"/>
        <w:jc w:val="both"/>
        <w:rPr>
          <w:rFonts w:cs="Times New Roman"/>
          <w:sz w:val="24"/>
          <w:szCs w:val="24"/>
        </w:rPr>
      </w:pPr>
    </w:p>
    <w:p w:rsidR="0042184A" w:rsidRPr="0069410C" w:rsidRDefault="00160B4B" w:rsidP="00894565">
      <w:pPr>
        <w:tabs>
          <w:tab w:val="left" w:pos="851"/>
        </w:tabs>
        <w:spacing w:after="0" w:line="360" w:lineRule="auto"/>
        <w:jc w:val="both"/>
        <w:rPr>
          <w:rFonts w:cs="Times New Roman"/>
          <w:sz w:val="20"/>
          <w:szCs w:val="20"/>
        </w:rPr>
      </w:pPr>
      <w:r w:rsidRPr="00E00DA0">
        <w:rPr>
          <w:rFonts w:cs="Times New Roman"/>
          <w:sz w:val="24"/>
          <w:szCs w:val="24"/>
        </w:rPr>
        <w:tab/>
      </w:r>
      <w:r w:rsidRPr="0069410C">
        <w:rPr>
          <w:rFonts w:cs="Times New Roman"/>
          <w:sz w:val="20"/>
          <w:szCs w:val="20"/>
        </w:rPr>
        <w:t>Vilniaus miesto gyventojai prašymus socialinėms išmokoms gauti (</w:t>
      </w:r>
      <w:r w:rsidR="004D1164" w:rsidRPr="0069410C">
        <w:rPr>
          <w:rFonts w:cs="Times New Roman"/>
          <w:sz w:val="20"/>
          <w:szCs w:val="20"/>
        </w:rPr>
        <w:t>socialinei pašalpa</w:t>
      </w:r>
      <w:r w:rsidR="00E03D3B">
        <w:rPr>
          <w:rFonts w:cs="Times New Roman"/>
          <w:sz w:val="20"/>
          <w:szCs w:val="20"/>
        </w:rPr>
        <w:t>i</w:t>
      </w:r>
      <w:r w:rsidR="004D1164" w:rsidRPr="0069410C">
        <w:rPr>
          <w:rFonts w:cs="Times New Roman"/>
          <w:sz w:val="20"/>
          <w:szCs w:val="20"/>
        </w:rPr>
        <w:t xml:space="preserve">, </w:t>
      </w:r>
      <w:r w:rsidR="001518A8">
        <w:rPr>
          <w:rFonts w:cs="Times New Roman"/>
          <w:sz w:val="20"/>
          <w:szCs w:val="20"/>
        </w:rPr>
        <w:t xml:space="preserve">būsto šildymo išlaidų, geriamojo vandens išlaidų ir karšto vandens išlaidų </w:t>
      </w:r>
      <w:r w:rsidR="001518A8" w:rsidRPr="009E490A">
        <w:rPr>
          <w:rFonts w:cs="Times New Roman"/>
          <w:sz w:val="20"/>
          <w:szCs w:val="20"/>
        </w:rPr>
        <w:t>kompensacijoms</w:t>
      </w:r>
      <w:r w:rsidRPr="009E490A">
        <w:rPr>
          <w:rFonts w:cs="Times New Roman"/>
          <w:sz w:val="20"/>
          <w:szCs w:val="20"/>
        </w:rPr>
        <w:t>,</w:t>
      </w:r>
      <w:r w:rsidR="00390AA1" w:rsidRPr="0069410C">
        <w:rPr>
          <w:rFonts w:cs="Times New Roman"/>
          <w:sz w:val="20"/>
          <w:szCs w:val="20"/>
        </w:rPr>
        <w:t xml:space="preserve"> išmok</w:t>
      </w:r>
      <w:r w:rsidR="004D1164" w:rsidRPr="0069410C">
        <w:rPr>
          <w:rFonts w:cs="Times New Roman"/>
          <w:sz w:val="20"/>
          <w:szCs w:val="20"/>
        </w:rPr>
        <w:t>oms</w:t>
      </w:r>
      <w:r w:rsidR="00390AA1" w:rsidRPr="0069410C">
        <w:rPr>
          <w:rFonts w:cs="Times New Roman"/>
          <w:sz w:val="20"/>
          <w:szCs w:val="20"/>
        </w:rPr>
        <w:t xml:space="preserve"> vaik</w:t>
      </w:r>
      <w:r w:rsidR="004D1164" w:rsidRPr="0069410C">
        <w:rPr>
          <w:rFonts w:cs="Times New Roman"/>
          <w:sz w:val="20"/>
          <w:szCs w:val="20"/>
        </w:rPr>
        <w:t>ui</w:t>
      </w:r>
      <w:r w:rsidR="00390AA1" w:rsidRPr="0069410C">
        <w:rPr>
          <w:rFonts w:cs="Times New Roman"/>
          <w:sz w:val="20"/>
          <w:szCs w:val="20"/>
        </w:rPr>
        <w:t xml:space="preserve">, šalpos </w:t>
      </w:r>
      <w:r w:rsidR="004D1164" w:rsidRPr="0069410C">
        <w:rPr>
          <w:rFonts w:cs="Times New Roman"/>
          <w:sz w:val="20"/>
          <w:szCs w:val="20"/>
        </w:rPr>
        <w:t>pensijoms, tikslinėms kompensacijo</w:t>
      </w:r>
      <w:r w:rsidR="001518A8">
        <w:rPr>
          <w:rFonts w:cs="Times New Roman"/>
          <w:sz w:val="20"/>
          <w:szCs w:val="20"/>
        </w:rPr>
        <w:t>m</w:t>
      </w:r>
      <w:r w:rsidR="004D1164" w:rsidRPr="0069410C">
        <w:rPr>
          <w:rFonts w:cs="Times New Roman"/>
          <w:sz w:val="20"/>
          <w:szCs w:val="20"/>
        </w:rPr>
        <w:t>s</w:t>
      </w:r>
      <w:r w:rsidRPr="0069410C">
        <w:rPr>
          <w:rFonts w:cs="Times New Roman"/>
          <w:sz w:val="20"/>
          <w:szCs w:val="20"/>
        </w:rPr>
        <w:t xml:space="preserve"> ir kt.) gali pateikti el. būdu </w:t>
      </w:r>
      <w:hyperlink r:id="rId8" w:history="1">
        <w:r w:rsidRPr="0069410C">
          <w:rPr>
            <w:rStyle w:val="Hipersaitas"/>
            <w:rFonts w:cs="Times New Roman"/>
            <w:sz w:val="20"/>
            <w:szCs w:val="20"/>
          </w:rPr>
          <w:t>www.spis.lt</w:t>
        </w:r>
      </w:hyperlink>
      <w:r w:rsidRPr="0069410C">
        <w:rPr>
          <w:rFonts w:cs="Times New Roman"/>
          <w:sz w:val="20"/>
          <w:szCs w:val="20"/>
        </w:rPr>
        <w:t xml:space="preserve"> arba atvykus į Vilniaus miesto savivaldybės </w:t>
      </w:r>
      <w:r w:rsidR="002C0080" w:rsidRPr="0069410C">
        <w:rPr>
          <w:rFonts w:cs="Times New Roman"/>
          <w:sz w:val="20"/>
          <w:szCs w:val="20"/>
        </w:rPr>
        <w:t>administracijos Socialinių reikalų ir sveikatos departamento Socialinių išm</w:t>
      </w:r>
      <w:r w:rsidRPr="0069410C">
        <w:rPr>
          <w:rFonts w:cs="Times New Roman"/>
          <w:sz w:val="20"/>
          <w:szCs w:val="20"/>
        </w:rPr>
        <w:t>okų skyrių</w:t>
      </w:r>
      <w:r w:rsidR="0042184A" w:rsidRPr="0069410C">
        <w:rPr>
          <w:rFonts w:cs="Times New Roman"/>
          <w:sz w:val="20"/>
          <w:szCs w:val="20"/>
        </w:rPr>
        <w:t xml:space="preserve"> </w:t>
      </w:r>
      <w:r w:rsidR="001B3E5C" w:rsidRPr="0069410C">
        <w:rPr>
          <w:rFonts w:cs="Times New Roman"/>
          <w:sz w:val="20"/>
          <w:szCs w:val="20"/>
        </w:rPr>
        <w:t xml:space="preserve">šiais </w:t>
      </w:r>
      <w:r w:rsidR="0042184A" w:rsidRPr="0069410C">
        <w:rPr>
          <w:rFonts w:cs="Times New Roman"/>
          <w:sz w:val="20"/>
          <w:szCs w:val="20"/>
        </w:rPr>
        <w:t>adresais</w:t>
      </w:r>
      <w:r w:rsidR="001B3E5C" w:rsidRPr="0069410C">
        <w:rPr>
          <w:rFonts w:cs="Times New Roman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231"/>
      </w:tblGrid>
      <w:tr w:rsidR="001B3E5C" w:rsidRPr="00E00DA0" w:rsidTr="00784611">
        <w:trPr>
          <w:trHeight w:val="480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Kauno g. 3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Žemynos g. 1 (9 kab.)</w:t>
            </w:r>
          </w:p>
        </w:tc>
      </w:tr>
      <w:tr w:rsidR="001B3E5C" w:rsidRPr="00E00DA0" w:rsidTr="00784611">
        <w:trPr>
          <w:trHeight w:val="480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Viršuliškių g. 53 (1 kab.)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Vydūno g. 20 (5 kab.)</w:t>
            </w:r>
          </w:p>
        </w:tc>
      </w:tr>
      <w:tr w:rsidR="001B3E5C" w:rsidRPr="00E00DA0" w:rsidTr="00784611">
        <w:trPr>
          <w:trHeight w:val="480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Loretos Asanavičiūtės g. 20 (7 kab.)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Erfurto g. 29 (8 kab.)</w:t>
            </w:r>
          </w:p>
        </w:tc>
      </w:tr>
      <w:tr w:rsidR="001B3E5C" w:rsidRPr="00E00DA0" w:rsidTr="00784611">
        <w:trPr>
          <w:trHeight w:val="480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Žirmūnų g. 143 (114 kab.)</w:t>
            </w:r>
          </w:p>
        </w:tc>
        <w:tc>
          <w:tcPr>
            <w:tcW w:w="4231" w:type="dxa"/>
            <w:vMerge w:val="restart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Šeškinės g. 28 (2 kab.)</w:t>
            </w:r>
          </w:p>
        </w:tc>
      </w:tr>
      <w:tr w:rsidR="001B3E5C" w:rsidRPr="00E00DA0" w:rsidTr="00784611">
        <w:trPr>
          <w:trHeight w:val="389"/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00DA0">
              <w:rPr>
                <w:rFonts w:cs="Times New Roman"/>
                <w:b/>
                <w:bCs/>
                <w:iCs/>
                <w:sz w:val="20"/>
                <w:szCs w:val="20"/>
              </w:rPr>
              <w:t>Pergalės g. 8 (204 kab.)</w:t>
            </w:r>
          </w:p>
        </w:tc>
        <w:tc>
          <w:tcPr>
            <w:tcW w:w="4231" w:type="dxa"/>
            <w:vMerge/>
            <w:shd w:val="clear" w:color="auto" w:fill="auto"/>
            <w:vAlign w:val="center"/>
          </w:tcPr>
          <w:p w:rsidR="001B3E5C" w:rsidRPr="00E00DA0" w:rsidRDefault="001B3E5C" w:rsidP="00784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E4C1B" w:rsidRPr="00E00DA0" w:rsidRDefault="008E4C1B" w:rsidP="00390AA1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90AA1" w:rsidRPr="0069410C" w:rsidRDefault="00390AA1" w:rsidP="00894565">
      <w:pPr>
        <w:spacing w:after="0" w:line="360" w:lineRule="auto"/>
        <w:ind w:firstLine="851"/>
        <w:jc w:val="both"/>
        <w:rPr>
          <w:rFonts w:cs="Times New Roman"/>
          <w:sz w:val="20"/>
          <w:szCs w:val="20"/>
        </w:rPr>
      </w:pPr>
      <w:r w:rsidRPr="0069410C">
        <w:rPr>
          <w:rFonts w:cs="Times New Roman"/>
          <w:sz w:val="20"/>
          <w:szCs w:val="20"/>
        </w:rPr>
        <w:t xml:space="preserve">Asmenys aptarnaujami išankstinės registracijos tvarka ir be išankstinės registracijos (eilės tvarka). Be išankstinės registracijos asmenys aptarnaujami neatvykus į priėmimą iš anksto registruotam asmeniui, arba eilės tvarka pagal elektroninę eilių valdymo sistemą (tik Kauno g. 3). </w:t>
      </w:r>
    </w:p>
    <w:p w:rsidR="00390AA1" w:rsidRDefault="00390AA1" w:rsidP="00894565">
      <w:pPr>
        <w:spacing w:after="0" w:line="360" w:lineRule="auto"/>
        <w:ind w:firstLine="851"/>
        <w:jc w:val="both"/>
        <w:rPr>
          <w:rFonts w:cs="Times New Roman"/>
          <w:sz w:val="20"/>
          <w:szCs w:val="20"/>
        </w:rPr>
      </w:pPr>
      <w:r w:rsidRPr="0069410C">
        <w:rPr>
          <w:rFonts w:cs="Times New Roman"/>
          <w:color w:val="000000"/>
          <w:sz w:val="20"/>
          <w:szCs w:val="20"/>
        </w:rPr>
        <w:t xml:space="preserve">Priėmimui galima registruotis </w:t>
      </w:r>
      <w:r w:rsidRPr="0069410C">
        <w:rPr>
          <w:rFonts w:cs="Times New Roman"/>
          <w:sz w:val="20"/>
          <w:szCs w:val="20"/>
        </w:rPr>
        <w:t xml:space="preserve">internetu </w:t>
      </w:r>
      <w:r w:rsidRPr="0069410C">
        <w:rPr>
          <w:rFonts w:cs="Times New Roman"/>
          <w:color w:val="365F91" w:themeColor="accent1" w:themeShade="BF"/>
          <w:sz w:val="20"/>
          <w:szCs w:val="20"/>
        </w:rPr>
        <w:t>www.sis.vilnius.lt</w:t>
      </w:r>
      <w:r w:rsidRPr="0069410C">
        <w:rPr>
          <w:rFonts w:cs="Times New Roman"/>
          <w:sz w:val="20"/>
          <w:szCs w:val="20"/>
        </w:rPr>
        <w:t xml:space="preserve">, bendruoju asmenų aptarnavimo telefonu </w:t>
      </w:r>
      <w:r w:rsidRPr="0069410C">
        <w:rPr>
          <w:rFonts w:cs="Times New Roman"/>
          <w:color w:val="365F91" w:themeColor="accent1" w:themeShade="BF"/>
          <w:sz w:val="20"/>
          <w:szCs w:val="20"/>
        </w:rPr>
        <w:t>(8 700)  35 545</w:t>
      </w:r>
      <w:r w:rsidRPr="0069410C">
        <w:rPr>
          <w:rFonts w:cs="Times New Roman"/>
          <w:sz w:val="20"/>
          <w:szCs w:val="20"/>
        </w:rPr>
        <w:t>.</w:t>
      </w:r>
      <w:r w:rsidR="00E00DA0" w:rsidRPr="0069410C">
        <w:rPr>
          <w:rFonts w:cs="Times New Roman"/>
          <w:sz w:val="20"/>
          <w:szCs w:val="20"/>
        </w:rPr>
        <w:t xml:space="preserve"> </w:t>
      </w:r>
      <w:r w:rsidR="00E00DA0" w:rsidRPr="009E490A">
        <w:rPr>
          <w:rFonts w:cs="Times New Roman"/>
          <w:sz w:val="20"/>
          <w:szCs w:val="20"/>
        </w:rPr>
        <w:t xml:space="preserve">Informacija apie socialinių išmokų teikimo sąlygas skelbiama </w:t>
      </w:r>
      <w:hyperlink r:id="rId9" w:history="1">
        <w:r w:rsidR="001518A8" w:rsidRPr="009E490A">
          <w:rPr>
            <w:rStyle w:val="Hipersaitas"/>
            <w:rFonts w:cs="Times New Roman"/>
            <w:sz w:val="20"/>
            <w:szCs w:val="20"/>
          </w:rPr>
          <w:t>www.vilnius.lt</w:t>
        </w:r>
      </w:hyperlink>
      <w:r w:rsidR="001518A8" w:rsidRPr="009E490A">
        <w:rPr>
          <w:rFonts w:cs="Times New Roman"/>
          <w:sz w:val="20"/>
          <w:szCs w:val="20"/>
        </w:rPr>
        <w:t>, (skiltyje „Paslaugos“ – Socialinės išmokos).</w:t>
      </w:r>
    </w:p>
    <w:p w:rsidR="00271ADC" w:rsidRDefault="00271ADC" w:rsidP="00894565">
      <w:pPr>
        <w:spacing w:after="0" w:line="360" w:lineRule="auto"/>
        <w:ind w:firstLine="851"/>
        <w:jc w:val="both"/>
        <w:rPr>
          <w:rFonts w:cs="Times New Roman"/>
          <w:sz w:val="20"/>
          <w:szCs w:val="20"/>
        </w:rPr>
      </w:pPr>
    </w:p>
    <w:p w:rsidR="00894565" w:rsidRDefault="00894565" w:rsidP="00894565">
      <w:pPr>
        <w:spacing w:after="0" w:line="360" w:lineRule="auto"/>
        <w:ind w:firstLine="851"/>
        <w:jc w:val="both"/>
        <w:rPr>
          <w:rFonts w:cs="Times New Roman"/>
          <w:sz w:val="20"/>
          <w:szCs w:val="20"/>
        </w:rPr>
      </w:pPr>
      <w:r w:rsidRPr="00894565">
        <w:rPr>
          <w:rFonts w:cs="Times New Roman"/>
          <w:b/>
          <w:sz w:val="20"/>
          <w:szCs w:val="20"/>
        </w:rPr>
        <w:t>Naujiena</w:t>
      </w:r>
      <w:r>
        <w:rPr>
          <w:rFonts w:cs="Times New Roman"/>
          <w:sz w:val="20"/>
          <w:szCs w:val="20"/>
        </w:rPr>
        <w:t>. Besikreipiančių dėl socialinės pašalpos ir kompensacijų už būsto šildymą, geriamąjį ir (ar) karštą vandenį skyrimo patogumui:</w:t>
      </w:r>
    </w:p>
    <w:p w:rsidR="00894565" w:rsidRDefault="00894565" w:rsidP="00894565">
      <w:pPr>
        <w:spacing w:after="0" w:line="360" w:lineRule="auto"/>
        <w:ind w:firstLine="851"/>
        <w:jc w:val="both"/>
        <w:rPr>
          <w:rFonts w:cs="Times New Roman"/>
          <w:sz w:val="20"/>
          <w:szCs w:val="20"/>
        </w:rPr>
      </w:pPr>
      <w:r w:rsidRPr="00894565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</w:t>
      </w:r>
      <w:r w:rsidRPr="00894565">
        <w:rPr>
          <w:rFonts w:cs="Times New Roman"/>
          <w:sz w:val="20"/>
          <w:szCs w:val="20"/>
        </w:rPr>
        <w:t>įdiegti</w:t>
      </w:r>
      <w:r>
        <w:rPr>
          <w:rFonts w:cs="Times New Roman"/>
          <w:sz w:val="20"/>
          <w:szCs w:val="20"/>
        </w:rPr>
        <w:t xml:space="preserve"> mokomieji video filmai (video instrukcijos) su įgarsinimu ir titrais, kaip prisijungti prie sistemos SPIS ir užpildyti bei pateikti prašymus-paraiškas piniginei socialinei paramai gauti (</w:t>
      </w:r>
      <w:hyperlink r:id="rId10" w:history="1">
        <w:r w:rsidRPr="00716961">
          <w:rPr>
            <w:rStyle w:val="Hipersaitas"/>
            <w:rFonts w:cs="Times New Roman"/>
            <w:sz w:val="20"/>
            <w:szCs w:val="20"/>
          </w:rPr>
          <w:t>www.spis.lt/Titulinis/VideoInstrukcijos</w:t>
        </w:r>
      </w:hyperlink>
      <w:r>
        <w:rPr>
          <w:rFonts w:cs="Times New Roman"/>
          <w:sz w:val="20"/>
          <w:szCs w:val="20"/>
        </w:rPr>
        <w:t>);</w:t>
      </w:r>
    </w:p>
    <w:p w:rsidR="00894565" w:rsidRDefault="00894565" w:rsidP="00894565">
      <w:pPr>
        <w:spacing w:after="0" w:line="360" w:lineRule="auto"/>
        <w:ind w:firstLine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sukurtos būsto šildymo išlaidų kompensacijos ir socialinės pašalpos skaičiuoklės, kuriomis naudojantis asmuo gali sužinoti, ar ši parama jam priklauso bei preliminarų jos dydį (</w:t>
      </w:r>
      <w:hyperlink r:id="rId11" w:history="1">
        <w:r w:rsidRPr="00716961">
          <w:rPr>
            <w:rStyle w:val="Hipersaitas"/>
            <w:rFonts w:cs="Times New Roman"/>
            <w:sz w:val="20"/>
            <w:szCs w:val="20"/>
          </w:rPr>
          <w:t>www.spis.lt/Skaičiuoklės</w:t>
        </w:r>
      </w:hyperlink>
      <w:r>
        <w:rPr>
          <w:rFonts w:cs="Times New Roman"/>
          <w:sz w:val="20"/>
          <w:szCs w:val="20"/>
        </w:rPr>
        <w:t>);</w:t>
      </w:r>
    </w:p>
    <w:p w:rsidR="00894565" w:rsidRPr="00894565" w:rsidRDefault="00894565" w:rsidP="00894565">
      <w:pPr>
        <w:spacing w:after="0" w:line="360" w:lineRule="auto"/>
        <w:ind w:firstLine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sukurta ir Lietuvos Respublikos socialinės apsaugos ir darbo ministerijos interneto svetainėje </w:t>
      </w:r>
      <w:hyperlink r:id="rId12" w:history="1">
        <w:r w:rsidRPr="00716961">
          <w:rPr>
            <w:rStyle w:val="Hipersaitas"/>
            <w:rFonts w:cs="Times New Roman"/>
            <w:sz w:val="20"/>
            <w:szCs w:val="20"/>
          </w:rPr>
          <w:t>www.socmin.lt</w:t>
        </w:r>
      </w:hyperlink>
      <w:r>
        <w:rPr>
          <w:rFonts w:cs="Times New Roman"/>
          <w:sz w:val="20"/>
          <w:szCs w:val="20"/>
        </w:rPr>
        <w:t xml:space="preserve"> lengvai pasiekiama reklaminė juosta (baneris), kuri nukreipia gyventojus į Socialinės paramos šeimai informacinės sistemos (SPIS) svetainę </w:t>
      </w:r>
      <w:hyperlink r:id="rId13" w:history="1">
        <w:r w:rsidRPr="00716961">
          <w:rPr>
            <w:rStyle w:val="Hipersaitas"/>
            <w:rFonts w:cs="Times New Roman"/>
            <w:sz w:val="20"/>
            <w:szCs w:val="20"/>
          </w:rPr>
          <w:t>www.spis.lt</w:t>
        </w:r>
      </w:hyperlink>
      <w:r>
        <w:rPr>
          <w:rFonts w:cs="Times New Roman"/>
          <w:sz w:val="20"/>
          <w:szCs w:val="20"/>
        </w:rPr>
        <w:t xml:space="preserve">; </w:t>
      </w:r>
    </w:p>
    <w:p w:rsidR="00390AA1" w:rsidRPr="00E00DA0" w:rsidRDefault="00390AA1" w:rsidP="0042184A">
      <w:pPr>
        <w:spacing w:after="0" w:line="240" w:lineRule="auto"/>
        <w:ind w:firstLine="1296"/>
        <w:jc w:val="both"/>
        <w:rPr>
          <w:rFonts w:cs="Times New Roman"/>
          <w:sz w:val="24"/>
          <w:szCs w:val="28"/>
        </w:rPr>
      </w:pPr>
    </w:p>
    <w:p w:rsidR="00390AA1" w:rsidRPr="00E00DA0" w:rsidRDefault="00390AA1" w:rsidP="00390AA1">
      <w:pPr>
        <w:contextualSpacing/>
        <w:jc w:val="center"/>
        <w:rPr>
          <w:rFonts w:cs="Times New Roman"/>
          <w:b/>
        </w:rPr>
      </w:pPr>
      <w:r w:rsidRPr="00E00DA0">
        <w:rPr>
          <w:rFonts w:cs="Times New Roman"/>
          <w:b/>
        </w:rPr>
        <w:t>Asmenų aptarnavimo laikas:</w:t>
      </w:r>
    </w:p>
    <w:p w:rsidR="00390AA1" w:rsidRPr="00E00DA0" w:rsidRDefault="00390AA1" w:rsidP="00390AA1">
      <w:pPr>
        <w:contextualSpacing/>
        <w:jc w:val="center"/>
        <w:rPr>
          <w:rFonts w:cs="Times New Roman"/>
        </w:rPr>
      </w:pPr>
      <w:r w:rsidRPr="00E00DA0">
        <w:rPr>
          <w:rFonts w:cs="Times New Roman"/>
        </w:rPr>
        <w:t>Pirmadieniais – ketvirtadieniais nuo 7.30 iki 16.30 val.; penktadieniais nuo 7.30 iki 11.30 val.</w:t>
      </w:r>
    </w:p>
    <w:p w:rsidR="00390AA1" w:rsidRPr="00E00DA0" w:rsidRDefault="00390AA1" w:rsidP="00390AA1">
      <w:pPr>
        <w:contextualSpacing/>
        <w:jc w:val="center"/>
        <w:rPr>
          <w:rFonts w:cs="Times New Roman"/>
        </w:rPr>
      </w:pPr>
      <w:r w:rsidRPr="00E00DA0">
        <w:rPr>
          <w:rFonts w:cs="Times New Roman"/>
          <w:b/>
        </w:rPr>
        <w:t xml:space="preserve">Pietų pertraukos laikas: </w:t>
      </w:r>
      <w:r w:rsidRPr="00E00DA0">
        <w:rPr>
          <w:rFonts w:cs="Times New Roman"/>
        </w:rPr>
        <w:t>nuo</w:t>
      </w:r>
      <w:r w:rsidRPr="00E00DA0">
        <w:rPr>
          <w:rFonts w:cs="Times New Roman"/>
          <w:b/>
        </w:rPr>
        <w:t xml:space="preserve"> </w:t>
      </w:r>
      <w:r w:rsidRPr="00E00DA0">
        <w:rPr>
          <w:rFonts w:cs="Times New Roman"/>
        </w:rPr>
        <w:t>11.30 iki 12.15 val.</w:t>
      </w:r>
    </w:p>
    <w:p w:rsidR="00390AA1" w:rsidRPr="00E00DA0" w:rsidRDefault="00390AA1" w:rsidP="00390AA1">
      <w:pPr>
        <w:contextualSpacing/>
        <w:jc w:val="center"/>
        <w:rPr>
          <w:rFonts w:cs="Times New Roman"/>
          <w:b/>
        </w:rPr>
      </w:pPr>
    </w:p>
    <w:p w:rsidR="00390AA1" w:rsidRPr="00E00DA0" w:rsidRDefault="00390AA1" w:rsidP="00390AA1">
      <w:pPr>
        <w:tabs>
          <w:tab w:val="left" w:pos="4035"/>
        </w:tabs>
        <w:contextualSpacing/>
        <w:jc w:val="center"/>
        <w:rPr>
          <w:rFonts w:cs="Times New Roman"/>
          <w:b/>
        </w:rPr>
      </w:pPr>
      <w:r w:rsidRPr="00E00DA0">
        <w:rPr>
          <w:rFonts w:cs="Times New Roman"/>
          <w:b/>
        </w:rPr>
        <w:t>Asmenų aptarnavimo pagal elektroninę eilių valdymo sistemą Kauno g. 3, laikas:</w:t>
      </w:r>
    </w:p>
    <w:p w:rsidR="00390AA1" w:rsidRPr="00E00DA0" w:rsidRDefault="00390AA1" w:rsidP="00390AA1">
      <w:pPr>
        <w:tabs>
          <w:tab w:val="left" w:pos="4035"/>
        </w:tabs>
        <w:contextualSpacing/>
        <w:jc w:val="center"/>
        <w:rPr>
          <w:rFonts w:cs="Times New Roman"/>
        </w:rPr>
      </w:pPr>
      <w:r w:rsidRPr="00E00DA0">
        <w:rPr>
          <w:rFonts w:cs="Times New Roman"/>
        </w:rPr>
        <w:t>Pirmadieniais – ketvirtadieniais nuo 7.30 iki 17.15 val.; penktadieniais nuo 7.30 iki 12.15 val.</w:t>
      </w:r>
    </w:p>
    <w:p w:rsidR="001F1728" w:rsidRDefault="001F1728" w:rsidP="00390AA1">
      <w:pPr>
        <w:ind w:firstLine="1296"/>
        <w:contextualSpacing/>
        <w:jc w:val="center"/>
        <w:rPr>
          <w:rStyle w:val="Grietas"/>
          <w:rFonts w:asciiTheme="minorHAnsi" w:hAnsiTheme="minorHAnsi" w:cs="Times New Roman"/>
        </w:rPr>
      </w:pPr>
    </w:p>
    <w:p w:rsidR="00390AA1" w:rsidRPr="00E00DA0" w:rsidRDefault="00390AA1" w:rsidP="00390AA1">
      <w:pPr>
        <w:ind w:firstLine="1296"/>
        <w:contextualSpacing/>
        <w:jc w:val="center"/>
        <w:rPr>
          <w:rStyle w:val="Grietas"/>
          <w:rFonts w:asciiTheme="minorHAnsi" w:hAnsiTheme="minorHAnsi" w:cs="Times New Roman"/>
          <w:b w:val="0"/>
          <w:bCs w:val="0"/>
        </w:rPr>
      </w:pPr>
      <w:r w:rsidRPr="00E00DA0">
        <w:rPr>
          <w:rStyle w:val="Grietas"/>
          <w:rFonts w:asciiTheme="minorHAnsi" w:hAnsiTheme="minorHAnsi" w:cs="Times New Roman"/>
        </w:rPr>
        <w:t>Pastaba: Prieššventinėmis dienomis dirbame valanda trumpiau.</w:t>
      </w:r>
    </w:p>
    <w:p w:rsidR="00390AA1" w:rsidRDefault="00390AA1" w:rsidP="00390AA1">
      <w:pPr>
        <w:ind w:firstLine="129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0AA1" w:rsidRDefault="00390AA1" w:rsidP="00390AA1">
      <w:pPr>
        <w:ind w:firstLine="129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3E03" w:rsidRPr="006F33EC" w:rsidRDefault="00453E03" w:rsidP="000A5910">
      <w:pPr>
        <w:pStyle w:val="prastasiniatinklio"/>
        <w:spacing w:before="0" w:beforeAutospacing="0" w:after="0" w:afterAutospacing="0"/>
        <w:rPr>
          <w:rStyle w:val="Grietas"/>
          <w:rFonts w:ascii="Times New Roman" w:hAnsi="Times New Roman" w:cs="Times New Roman"/>
        </w:rPr>
      </w:pPr>
    </w:p>
    <w:sectPr w:rsidR="00453E03" w:rsidRPr="006F33EC" w:rsidSect="00F26822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C5" w:rsidRDefault="00555BC5" w:rsidP="007848F6">
      <w:pPr>
        <w:spacing w:after="0" w:line="240" w:lineRule="auto"/>
      </w:pPr>
      <w:r>
        <w:separator/>
      </w:r>
    </w:p>
  </w:endnote>
  <w:endnote w:type="continuationSeparator" w:id="0">
    <w:p w:rsidR="00555BC5" w:rsidRDefault="00555BC5" w:rsidP="0078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C5" w:rsidRDefault="00555BC5" w:rsidP="007848F6">
      <w:pPr>
        <w:spacing w:after="0" w:line="240" w:lineRule="auto"/>
      </w:pPr>
      <w:r>
        <w:separator/>
      </w:r>
    </w:p>
  </w:footnote>
  <w:footnote w:type="continuationSeparator" w:id="0">
    <w:p w:rsidR="00555BC5" w:rsidRDefault="00555BC5" w:rsidP="0078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2217"/>
    <w:multiLevelType w:val="hybridMultilevel"/>
    <w:tmpl w:val="70AAA224"/>
    <w:lvl w:ilvl="0" w:tplc="36E69D34">
      <w:numFmt w:val="bullet"/>
      <w:lvlText w:val="-"/>
      <w:lvlJc w:val="left"/>
      <w:pPr>
        <w:ind w:left="1656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263F7022"/>
    <w:multiLevelType w:val="hybridMultilevel"/>
    <w:tmpl w:val="B492E340"/>
    <w:lvl w:ilvl="0" w:tplc="44D286B0">
      <w:numFmt w:val="bullet"/>
      <w:lvlText w:val="-"/>
      <w:lvlJc w:val="left"/>
      <w:pPr>
        <w:ind w:left="165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44AB07C8"/>
    <w:multiLevelType w:val="hybridMultilevel"/>
    <w:tmpl w:val="C4020C7A"/>
    <w:lvl w:ilvl="0" w:tplc="9356C4AE">
      <w:numFmt w:val="bullet"/>
      <w:lvlText w:val="-"/>
      <w:lvlJc w:val="left"/>
      <w:pPr>
        <w:ind w:left="1656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49A1601D"/>
    <w:multiLevelType w:val="hybridMultilevel"/>
    <w:tmpl w:val="2F5E927A"/>
    <w:lvl w:ilvl="0" w:tplc="90325E1E">
      <w:start w:val="2016"/>
      <w:numFmt w:val="bullet"/>
      <w:lvlText w:val="-"/>
      <w:lvlJc w:val="left"/>
      <w:pPr>
        <w:ind w:left="1656" w:hanging="360"/>
      </w:pPr>
      <w:rPr>
        <w:rFonts w:ascii="Times New Roman" w:eastAsiaTheme="minorEastAsia" w:hAnsi="Times New Roman" w:cs="Times New Roman" w:hint="default"/>
        <w:i/>
        <w:u w:val="single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6A8E0D78"/>
    <w:multiLevelType w:val="hybridMultilevel"/>
    <w:tmpl w:val="508EC4C6"/>
    <w:lvl w:ilvl="0" w:tplc="9E3C1224">
      <w:start w:val="4"/>
      <w:numFmt w:val="bullet"/>
      <w:lvlText w:val="-"/>
      <w:lvlJc w:val="left"/>
      <w:pPr>
        <w:ind w:left="1716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 w15:restartNumberingAfterBreak="0">
    <w:nsid w:val="76AF5C11"/>
    <w:multiLevelType w:val="hybridMultilevel"/>
    <w:tmpl w:val="59A0A5C0"/>
    <w:lvl w:ilvl="0" w:tplc="24923D2E">
      <w:numFmt w:val="bullet"/>
      <w:lvlText w:val="-"/>
      <w:lvlJc w:val="left"/>
      <w:pPr>
        <w:ind w:left="1211" w:hanging="360"/>
      </w:pPr>
      <w:rPr>
        <w:rFonts w:ascii="Calibri" w:eastAsiaTheme="minorEastAsia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6"/>
    <w:rsid w:val="00094D3C"/>
    <w:rsid w:val="000A5910"/>
    <w:rsid w:val="000E1891"/>
    <w:rsid w:val="000F4DFE"/>
    <w:rsid w:val="001123EA"/>
    <w:rsid w:val="00113FDE"/>
    <w:rsid w:val="00127EC7"/>
    <w:rsid w:val="00132ECC"/>
    <w:rsid w:val="00146E85"/>
    <w:rsid w:val="001518A8"/>
    <w:rsid w:val="00160B4B"/>
    <w:rsid w:val="00167E80"/>
    <w:rsid w:val="00197BF7"/>
    <w:rsid w:val="001B3E5C"/>
    <w:rsid w:val="001D254F"/>
    <w:rsid w:val="001F1728"/>
    <w:rsid w:val="0022284A"/>
    <w:rsid w:val="002273D4"/>
    <w:rsid w:val="00260AEC"/>
    <w:rsid w:val="00271ADC"/>
    <w:rsid w:val="0027342C"/>
    <w:rsid w:val="00282254"/>
    <w:rsid w:val="002A6169"/>
    <w:rsid w:val="002C0080"/>
    <w:rsid w:val="00311AEF"/>
    <w:rsid w:val="00326F2A"/>
    <w:rsid w:val="00390AA1"/>
    <w:rsid w:val="003A29D9"/>
    <w:rsid w:val="003C4B92"/>
    <w:rsid w:val="003C5572"/>
    <w:rsid w:val="003F5FC9"/>
    <w:rsid w:val="0042184A"/>
    <w:rsid w:val="00453E03"/>
    <w:rsid w:val="00460CED"/>
    <w:rsid w:val="004922A9"/>
    <w:rsid w:val="004D1164"/>
    <w:rsid w:val="00504DFB"/>
    <w:rsid w:val="005108B6"/>
    <w:rsid w:val="00555BC5"/>
    <w:rsid w:val="00586D21"/>
    <w:rsid w:val="005B1B28"/>
    <w:rsid w:val="00606994"/>
    <w:rsid w:val="006467B2"/>
    <w:rsid w:val="00671E4F"/>
    <w:rsid w:val="00681900"/>
    <w:rsid w:val="0069410C"/>
    <w:rsid w:val="006A5AF3"/>
    <w:rsid w:val="006F33EC"/>
    <w:rsid w:val="00784611"/>
    <w:rsid w:val="007848F6"/>
    <w:rsid w:val="007B35C6"/>
    <w:rsid w:val="007C665F"/>
    <w:rsid w:val="00824323"/>
    <w:rsid w:val="0084350B"/>
    <w:rsid w:val="00877823"/>
    <w:rsid w:val="008863EE"/>
    <w:rsid w:val="00894565"/>
    <w:rsid w:val="008960E4"/>
    <w:rsid w:val="008E4C1B"/>
    <w:rsid w:val="00903856"/>
    <w:rsid w:val="00962D79"/>
    <w:rsid w:val="009711EA"/>
    <w:rsid w:val="00995EA3"/>
    <w:rsid w:val="009E490A"/>
    <w:rsid w:val="00A3326B"/>
    <w:rsid w:val="00B839D3"/>
    <w:rsid w:val="00B94293"/>
    <w:rsid w:val="00BA21F3"/>
    <w:rsid w:val="00C12BBA"/>
    <w:rsid w:val="00C278EC"/>
    <w:rsid w:val="00C33182"/>
    <w:rsid w:val="00C36EBD"/>
    <w:rsid w:val="00CF138D"/>
    <w:rsid w:val="00D31BD6"/>
    <w:rsid w:val="00DD76D1"/>
    <w:rsid w:val="00E00DA0"/>
    <w:rsid w:val="00E03D3B"/>
    <w:rsid w:val="00E10F95"/>
    <w:rsid w:val="00E16521"/>
    <w:rsid w:val="00E423A8"/>
    <w:rsid w:val="00E95E91"/>
    <w:rsid w:val="00EC7950"/>
    <w:rsid w:val="00F26822"/>
    <w:rsid w:val="00F33498"/>
    <w:rsid w:val="00F43415"/>
    <w:rsid w:val="00F445AB"/>
    <w:rsid w:val="00F7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62E5-CBA9-4C40-9B79-727B1C1A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F4D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7823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848F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7848F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7848F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848F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848F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848F6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7848F6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7848F6"/>
    <w:rPr>
      <w:rFonts w:ascii="Arial" w:hAnsi="Arial" w:cs="Arial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671E4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33498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s.lt" TargetMode="External"/><Relationship Id="rId13" Type="http://schemas.openxmlformats.org/officeDocument/2006/relationships/hyperlink" Target="http://www.sp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min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s.lt/Skai&#269;iuokl&#279;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is.lt/Titulinis/VideoInstrukc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niu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895-4E02-47A2-A0BF-DAF33B76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1753</Words>
  <Characters>1000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d.leonaviciene</dc:creator>
  <cp:lastModifiedBy>Liudvika</cp:lastModifiedBy>
  <cp:revision>2</cp:revision>
  <cp:lastPrinted>2017-09-27T12:37:00Z</cp:lastPrinted>
  <dcterms:created xsi:type="dcterms:W3CDTF">2017-11-05T09:16:00Z</dcterms:created>
  <dcterms:modified xsi:type="dcterms:W3CDTF">2017-11-05T09:16:00Z</dcterms:modified>
</cp:coreProperties>
</file>